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7F143">
      <w:pPr>
        <w:rPr>
          <w:sz w:val="28"/>
          <w:szCs w:val="28"/>
        </w:rPr>
      </w:pPr>
      <w:r>
        <w:rPr>
          <w:sz w:val="28"/>
          <w:szCs w:val="28"/>
        </w:rPr>
        <w:t xml:space="preserve">Nacrt zakona o izmenama i dopunama Zakona o osnovama sistema obrazovanja i vaspitanja (ZOSOV), koji je stavljen na javnu raspravu (avgust 2026. godine), izazvao je opravdanu zabrinutost u prosvetnoj i pravnoj javnosti. </w:t>
      </w:r>
    </w:p>
    <w:p w14:paraId="59AA6DE1">
      <w:pPr>
        <w:rPr>
          <w:sz w:val="28"/>
          <w:szCs w:val="28"/>
        </w:rPr>
      </w:pPr>
      <w:r>
        <w:rPr>
          <w:sz w:val="28"/>
          <w:szCs w:val="28"/>
        </w:rPr>
        <w:t xml:space="preserve">U umesto suštinske reforme i rasterećenja nastave, ponuđena rešenja dodatno pooštravaju kontrolu, proširuju teren za sankcionisanje nastavnika i sužavaju autonomiju obrazovnih ustanova, učenika i roditelja. </w:t>
      </w:r>
    </w:p>
    <w:p w14:paraId="4CE5C3A6">
      <w:pPr>
        <w:rPr>
          <w:b/>
          <w:i/>
          <w:sz w:val="28"/>
          <w:szCs w:val="28"/>
        </w:rPr>
      </w:pPr>
      <w:r>
        <w:rPr>
          <w:rFonts w:ascii="Arial" w:hAnsi="Arial" w:cs="Arial"/>
          <w:b/>
          <w:i/>
          <w:color w:val="000000"/>
          <w:sz w:val="28"/>
          <w:szCs w:val="28"/>
        </w:rPr>
        <w:t>Ključna pitanja i analiza neusaglašenosti sa zakonom</w:t>
      </w:r>
    </w:p>
    <w:p w14:paraId="43B4C5F6">
      <w:pPr>
        <w:pStyle w:val="4"/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Disciplinske mere i razlozi za prestanak radnog odnosa</w:t>
      </w:r>
    </w:p>
    <w:p w14:paraId="6CE13CEA">
      <w:pPr>
        <w:pStyle w:val="4"/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Problem:</w:t>
      </w:r>
      <w:r>
        <w:rPr>
          <w:sz w:val="28"/>
          <w:szCs w:val="28"/>
        </w:rPr>
        <w:t xml:space="preserve">  Nacrt predviđa izuzetno oštre i birokratski definisane povrede radne obaveze, gde bezazlene proceduralne greške ili izrečene opaske mogu direktno voditi do otkaza ugovora o radu.</w:t>
      </w:r>
    </w:p>
    <w:p w14:paraId="0886F811">
      <w:pPr>
        <w:numPr>
          <w:ilvl w:val="0"/>
          <w:numId w:val="3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Pravni sukob:</w:t>
      </w:r>
      <w:r>
        <w:rPr>
          <w:sz w:val="28"/>
          <w:szCs w:val="28"/>
        </w:rPr>
        <w:t xml:space="preserve"> Ova rešenja su u direktnoj suprotnosti sa </w:t>
      </w:r>
      <w:r>
        <w:rPr>
          <w:b/>
          <w:bCs/>
          <w:sz w:val="28"/>
          <w:szCs w:val="28"/>
        </w:rPr>
        <w:t>Zakonom o radu</w:t>
      </w:r>
      <w:r>
        <w:rPr>
          <w:sz w:val="28"/>
          <w:szCs w:val="28"/>
        </w:rPr>
        <w:t xml:space="preserve"> (koji zahteva načelo srazmernosti između težine povrede i sankcije) i </w:t>
      </w:r>
      <w:r>
        <w:rPr>
          <w:b/>
          <w:bCs/>
          <w:sz w:val="28"/>
          <w:szCs w:val="28"/>
        </w:rPr>
        <w:t>Ustavom RS</w:t>
      </w:r>
      <w:r>
        <w:rPr>
          <w:sz w:val="28"/>
          <w:szCs w:val="28"/>
        </w:rPr>
        <w:t xml:space="preserve"> (pravo na rad i pravnu sigurnost - Član 60.). Prosvetni radnici se stavljaju u nepovoljniji i nesigurniji položaj u odnosu na ostatak javnog sektora, što narušava i ustavno načelo jednakosti građana. </w:t>
      </w:r>
    </w:p>
    <w:p w14:paraId="7986106E">
      <w:pPr>
        <w:pStyle w:val="4"/>
        <w:numPr>
          <w:ilvl w:val="0"/>
          <w:numId w:val="1"/>
        </w:numPr>
        <w:tabs>
          <w:tab w:val="left" w:pos="7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Ograničenje učešća učenika i roditelja</w:t>
      </w:r>
    </w:p>
    <w:p w14:paraId="3EB2C07C">
      <w:pPr>
        <w:pStyle w:val="4"/>
        <w:tabs>
          <w:tab w:val="left" w:pos="72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Problem:</w:t>
      </w:r>
      <w:r>
        <w:rPr>
          <w:sz w:val="28"/>
          <w:szCs w:val="28"/>
        </w:rPr>
        <w:t xml:space="preserve"> Ograničava se samoinicijativno organizovanje učenika van Učeničkog parlamenta, dok se redukuje uticaj i sastav Saveta roditelja u odlučivanju. </w:t>
      </w:r>
    </w:p>
    <w:p w14:paraId="422004B5">
      <w:pPr>
        <w:numPr>
          <w:ilvl w:val="0"/>
          <w:numId w:val="4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Pravni sukob:</w:t>
      </w:r>
      <w:r>
        <w:rPr>
          <w:sz w:val="28"/>
          <w:szCs w:val="28"/>
        </w:rPr>
        <w:t xml:space="preserve"> Narušava se ustavno pravo na slobodu udruživanja i delovanja (Član 55. Ustava RS). Sužavanje uloge roditelja protivreči opštim pravnim principima o najboljem interesu deteta i partnerstvu porodice i škole. </w:t>
      </w:r>
    </w:p>
    <w:p w14:paraId="7317274A">
      <w:pPr>
        <w:pStyle w:val="4"/>
        <w:numPr>
          <w:ilvl w:val="0"/>
          <w:numId w:val="1"/>
        </w:numPr>
        <w:tabs>
          <w:tab w:val="left" w:pos="7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Centralizacija moći i imenovanje direktora</w:t>
      </w:r>
    </w:p>
    <w:p w14:paraId="08E7EABF">
      <w:pPr>
        <w:pStyle w:val="4"/>
        <w:tabs>
          <w:tab w:val="left" w:pos="72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Problem:</w:t>
      </w:r>
      <w:r>
        <w:rPr>
          <w:sz w:val="28"/>
          <w:szCs w:val="28"/>
        </w:rPr>
        <w:t xml:space="preserve"> Dodatno se jača diskreciono pravo Ministarstva u procesu izbora i razrešenja direktora škola, čime se uloga Nastavničkog veća i Školskog odbora svodi na puku formalnost.</w:t>
      </w:r>
    </w:p>
    <w:p w14:paraId="2CEF6635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Pravni sukob:</w:t>
      </w:r>
      <w:r>
        <w:rPr>
          <w:sz w:val="28"/>
          <w:szCs w:val="28"/>
        </w:rPr>
        <w:t xml:space="preserve"> Suprotno je principima decentralizacije i autonomije obrazovno-vaspitnih ustanova, čime se narušava stručnost na račun političko-upravne podobnosti.</w:t>
      </w:r>
    </w:p>
    <w:p w14:paraId="32D3AB79">
      <w:pPr>
        <w:pStyle w:val="4"/>
        <w:numPr>
          <w:ilvl w:val="0"/>
          <w:numId w:val="1"/>
        </w:numPr>
        <w:tabs>
          <w:tab w:val="left" w:pos="7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Proceduralni nedostaci u javnoj raspravi</w:t>
      </w:r>
    </w:p>
    <w:p w14:paraId="4C89DDAD">
      <w:pPr>
        <w:pStyle w:val="4"/>
        <w:tabs>
          <w:tab w:val="left" w:pos="72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Problem:</w:t>
      </w:r>
      <w:r>
        <w:rPr>
          <w:sz w:val="28"/>
          <w:szCs w:val="28"/>
        </w:rPr>
        <w:t xml:space="preserve"> Održavanje javne rasprave u avgustu (tokom godišnjih odmora i raspusta) uz ograničavanje pristupa tribinama praktično onemogućava širi krug prosvetara da daju svoj doprinos.</w:t>
      </w:r>
    </w:p>
    <w:p w14:paraId="5641F2FA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Pravni sukob:</w:t>
      </w:r>
      <w:r>
        <w:rPr>
          <w:sz w:val="28"/>
          <w:szCs w:val="28"/>
        </w:rPr>
        <w:t xml:space="preserve"> Suprotno je </w:t>
      </w:r>
      <w:r>
        <w:rPr>
          <w:b/>
          <w:bCs/>
          <w:sz w:val="28"/>
          <w:szCs w:val="28"/>
        </w:rPr>
        <w:t>Zakonu o državnoj upravi</w:t>
      </w:r>
      <w:r>
        <w:rPr>
          <w:sz w:val="28"/>
          <w:szCs w:val="28"/>
        </w:rPr>
        <w:t xml:space="preserve"> i Poslovniku Vlade, koji nalažu sprovođenje delotvorne, transparentne i inkluzivne javne rasprave.</w:t>
      </w:r>
    </w:p>
    <w:p w14:paraId="1361D374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sz w:val="28"/>
          <w:szCs w:val="28"/>
        </w:rPr>
        <w:t>Predložena konstruktivna rešenja</w:t>
      </w:r>
    </w:p>
    <w:p w14:paraId="39AEADD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1. Srazmernost i preciznost radno-pravnih sankcija</w:t>
      </w:r>
    </w:p>
    <w:p w14:paraId="4033A62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Jasno razdvojiti lakše i teže povrede radne obaveze.</w:t>
      </w:r>
    </w:p>
    <w:p w14:paraId="074214F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Uvesti obavezni stepenasti sistem opomena i stručno-pedagoškog nadzora pre pokretanja otkaznog postupka, uz garanciju prava na odbranu pred nezavisnom komisijom.</w:t>
      </w:r>
    </w:p>
    <w:p w14:paraId="4374A47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2. Jačanje autonomije nastavnika i školske zajednice</w:t>
      </w:r>
    </w:p>
    <w:p w14:paraId="084E04AD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Vratiti ključnu ulogu Nastavničkom veću i Školskom odboru pri izboru direktora (tako da odluka kolektiva bude obavezujuća, a ne samo savetodavna).</w:t>
      </w:r>
    </w:p>
    <w:p w14:paraId="7D606081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Sačuvati i unaprediti modele učeničkog i roditeljskog organizovanja bez nepotrebnih birokratskih zabrana.</w:t>
      </w:r>
    </w:p>
    <w:p w14:paraId="331FBB0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3. Status nastavnika i rad na neodređeno</w:t>
      </w:r>
    </w:p>
    <w:p w14:paraId="43EF59F5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Primarni fokus izmena ZOSOV-a mora biti rešavanje statusa preko 30% zaposlenih koji godinama rade na određeno vreme, čime se direktno stvara ucjenjivački kapital i urušava sistem. Automatsko prevođenje u stalni radni odnos za sve raspisane, a nepopunjene normama obezbedilo bi stabilnost. </w:t>
      </w:r>
    </w:p>
    <w:p w14:paraId="72177B9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4. Produženje i ponavljanje javne rasprave</w:t>
      </w:r>
    </w:p>
    <w:p w14:paraId="1772BF4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Produžiti rok za javnu raspravu bar do kraja septembra, kako bi praktičari u školama (nastavnici, stručni saradnici i direktori) imali priliku da na nastavničkim većima analiziraju nacrt i pošalju usaglašene amandmane. </w:t>
      </w:r>
    </w:p>
    <w:p w14:paraId="6363D6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u vezi licenci</w:t>
      </w:r>
    </w:p>
    <w:p w14:paraId="726CBA03">
      <w:pPr>
        <w:rPr>
          <w:sz w:val="28"/>
          <w:szCs w:val="28"/>
        </w:rPr>
      </w:pPr>
      <w:r>
        <w:rPr>
          <w:sz w:val="28"/>
          <w:szCs w:val="28"/>
        </w:rPr>
        <w:t xml:space="preserve">Pitanje </w:t>
      </w:r>
      <w:r>
        <w:rPr>
          <w:b/>
          <w:bCs/>
          <w:sz w:val="28"/>
          <w:szCs w:val="28"/>
        </w:rPr>
        <w:t>licenci za rad prosvetnih radnika</w:t>
      </w:r>
      <w:r>
        <w:rPr>
          <w:sz w:val="28"/>
          <w:szCs w:val="28"/>
        </w:rPr>
        <w:t xml:space="preserve"> (nastavnika, vaspitača i stručnih saradnika) predstavlja još jednu ključnu tačku u kojoj Nacrt izmena i dopuna ZOSOV-a unosi dodatnu nesigurnost, umesto da unapredi struku.</w:t>
      </w:r>
    </w:p>
    <w:p w14:paraId="5FE00F66">
      <w:pPr>
        <w:rPr>
          <w:sz w:val="28"/>
          <w:szCs w:val="28"/>
        </w:rPr>
      </w:pPr>
      <w:r>
        <w:rPr>
          <w:sz w:val="28"/>
          <w:szCs w:val="28"/>
        </w:rPr>
        <w:t xml:space="preserve">Umesto da licenca bude garancija profesionalnog integriteta i kvalitetne metodike, predložena rešenja je pretvaraju u </w:t>
      </w:r>
      <w:r>
        <w:rPr>
          <w:b/>
          <w:bCs/>
          <w:sz w:val="28"/>
          <w:szCs w:val="28"/>
        </w:rPr>
        <w:t>birokratski bič za lakše udaljavanje nepodobnih iz prosvete</w:t>
      </w:r>
      <w:r>
        <w:rPr>
          <w:sz w:val="28"/>
          <w:szCs w:val="28"/>
        </w:rPr>
        <w:t>.</w:t>
      </w:r>
    </w:p>
    <w:p w14:paraId="00257F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Ključni sporni momenti u vezi sa licencama</w:t>
      </w:r>
    </w:p>
    <w:p w14:paraId="7815648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Proširenje razloga za oduzimanje licence po automatizmu</w:t>
      </w:r>
    </w:p>
    <w:p w14:paraId="75D4B0D6">
      <w:pPr>
        <w:numPr>
          <w:ilvl w:val="0"/>
          <w:numId w:val="1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Problem:</w:t>
      </w:r>
      <w:r>
        <w:rPr>
          <w:sz w:val="28"/>
          <w:szCs w:val="28"/>
        </w:rPr>
        <w:t xml:space="preserve"> Nacrt teži da oduzimanje licence veže za šire i proizvoljno definisane povrede radne obaveze ili "narušavanje ugleda ustanove".</w:t>
      </w:r>
    </w:p>
    <w:p w14:paraId="0E522548">
      <w:pPr>
        <w:numPr>
          <w:ilvl w:val="0"/>
          <w:numId w:val="1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Pravni konflikt:</w:t>
      </w:r>
      <w:r>
        <w:rPr>
          <w:sz w:val="28"/>
          <w:szCs w:val="28"/>
        </w:rPr>
        <w:t xml:space="preserve"> Oduzimanje licence je </w:t>
      </w:r>
      <w:r>
        <w:rPr>
          <w:b/>
          <w:bCs/>
          <w:sz w:val="28"/>
          <w:szCs w:val="28"/>
        </w:rPr>
        <w:t>trajna zabrana rada u struci</w:t>
      </w:r>
      <w:r>
        <w:rPr>
          <w:sz w:val="28"/>
          <w:szCs w:val="28"/>
        </w:rPr>
        <w:t xml:space="preserve"> (gubitak hleba). Srazmernost izričito nalaže da se licenca može oduzeti samo za najteža krivična dela i drastične, dokazane povrede prava deteta/učenika. Izjednačavanje radno-pravnog spora u školi sa trajnim gubitkom licence krši načelo srazmernosti i pravo na rad (čl. 60 Ustava RS).</w:t>
      </w:r>
    </w:p>
    <w:p w14:paraId="2BFD9E2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Birokratizacija stručnog usavršavanja i obnove licence</w:t>
      </w:r>
    </w:p>
    <w:p w14:paraId="21645808">
      <w:pPr>
        <w:numPr>
          <w:ilvl w:val="0"/>
          <w:numId w:val="1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Problem:</w:t>
      </w:r>
      <w:r>
        <w:rPr>
          <w:sz w:val="28"/>
          <w:szCs w:val="28"/>
        </w:rPr>
        <w:t xml:space="preserve"> Zadržava se i pooštrava rigidan sistem bodovanja stručnog usavršavanja koji nastavnike pretvara u sakupljače bodova sa često sumnjivih i skupih seminara, umesto da se vrednuje realan rad u učionici i napredovanje učenika.</w:t>
      </w:r>
    </w:p>
    <w:p w14:paraId="6269A027">
      <w:pPr>
        <w:numPr>
          <w:ilvl w:val="0"/>
          <w:numId w:val="1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Pravni konflikt:</w:t>
      </w:r>
      <w:r>
        <w:rPr>
          <w:sz w:val="28"/>
          <w:szCs w:val="28"/>
        </w:rPr>
        <w:t xml:space="preserve"> Dodatno opterećuje nastavnike administrativnim radom van radnog vremena bez adekvatne nadoknade, što je suprotno Zakonu o radu u pogledu prekovremenog rada.</w:t>
      </w:r>
    </w:p>
    <w:p w14:paraId="774787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Sastav i uloga Komisije za oduzimanje licence</w:t>
      </w:r>
    </w:p>
    <w:p w14:paraId="3D51276B">
      <w:pPr>
        <w:numPr>
          <w:ilvl w:val="0"/>
          <w:numId w:val="13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Problem:</w:t>
      </w:r>
      <w:r>
        <w:rPr>
          <w:sz w:val="28"/>
          <w:szCs w:val="28"/>
        </w:rPr>
        <w:t xml:space="preserve"> O oduzimanju licence i dalje odlučuje organ pri Ministarstvu bez nezavisne arbitraže strukovnih udruženja, sindikata ili komore nastavnika.</w:t>
      </w:r>
    </w:p>
    <w:p w14:paraId="6FB2DE7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Pravni konflikt:</w:t>
      </w:r>
      <w:r>
        <w:rPr>
          <w:sz w:val="28"/>
          <w:szCs w:val="28"/>
        </w:rPr>
        <w:t xml:space="preserve"> Narušava se načelo nestrasnosti i prava na pravično suđenje/postupak (čl. 32 Ustava RS), jer Ministarstvo istovremeno i tuži i sudi.</w:t>
      </w:r>
    </w:p>
    <w:p w14:paraId="54C337C8">
      <w:pPr>
        <w:ind w:left="720"/>
        <w:rPr>
          <w:sz w:val="28"/>
          <w:szCs w:val="28"/>
        </w:rPr>
      </w:pPr>
    </w:p>
    <w:p w14:paraId="37CD2BB6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Predlozi AMANDMANA na sporne članove ovog nacrta sa pravnim obrazloženjima koja se pozivaju na Ustav Republike Srbije, Zakon o radu i opšte pravne principe.</w:t>
      </w:r>
    </w:p>
    <w:p w14:paraId="00C595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AMANDMAN   I</w:t>
      </w:r>
    </w:p>
    <w:p w14:paraId="6957E7F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(Izbor i razrešenje organa rukovođenja - članovi koji uređuju izbor direktora)</w:t>
      </w:r>
    </w:p>
    <w:p w14:paraId="747C9F8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Tekst amandmana:</w:t>
      </w:r>
      <w:r>
        <w:rPr>
          <w:sz w:val="28"/>
          <w:szCs w:val="28"/>
        </w:rPr>
        <w:t xml:space="preserve"> U članu koji uređuje proceduru izbora direktora ustanove, menja se stav koji definiše ulogu ministra, tako da glasi:</w:t>
      </w:r>
    </w:p>
    <w:p w14:paraId="400A2EC1">
      <w:pPr>
        <w:rPr>
          <w:sz w:val="28"/>
          <w:szCs w:val="28"/>
        </w:rPr>
      </w:pPr>
      <w:r>
        <w:rPr>
          <w:sz w:val="28"/>
          <w:szCs w:val="28"/>
        </w:rPr>
        <w:t>„Ministar daje saglasnost na odluku Školskog odbora o izboru direktora ustanove u roku od 15 dana od dana prijema predloga. Ukoliko ministar u navedenom roku ne donese akt o odbijanju saglasnosti iz opravdanih zakonskih razloga, smatra se da je saglasnost data. Odluka Školskog odbora donosi se na osnovu većinskog predloga Nastavničkog veća.”</w:t>
      </w:r>
    </w:p>
    <w:p w14:paraId="3E2CD3D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Pravno obrazloženje:</w:t>
      </w:r>
    </w:p>
    <w:p w14:paraId="270EEF65">
      <w:pPr>
        <w:numPr>
          <w:ilvl w:val="0"/>
          <w:numId w:val="14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Ustavni i zakonski osnov:</w:t>
      </w:r>
      <w:r>
        <w:rPr>
          <w:sz w:val="28"/>
          <w:szCs w:val="28"/>
        </w:rPr>
        <w:t xml:space="preserve"> Član 115. Ustava RS (decentralizacija) i načelo autonomije obrazovno-vaspitnih ustanova.</w:t>
      </w:r>
    </w:p>
    <w:p w14:paraId="168912CF">
      <w:pPr>
        <w:numPr>
          <w:ilvl w:val="0"/>
          <w:numId w:val="14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Obrazloženje:</w:t>
      </w:r>
      <w:r>
        <w:rPr>
          <w:sz w:val="28"/>
          <w:szCs w:val="28"/>
        </w:rPr>
        <w:t xml:space="preserve"> Postojeće rešenje po kom ministar diskreciono bira direktora mimo volje kolektiva svodi Nastavničko veće i Školski odbor na puke dekorativne organe. Amandmanom se vraća suštinska autonomija školi, sprečava politizacija obrazovnog sistema i osigurava da ustanovom upravlja lice koje uživa profesionalni autoritet među zaposlenima i roditeljima.</w:t>
      </w:r>
    </w:p>
    <w:p w14:paraId="04DA48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AMANDMAN  II</w:t>
      </w:r>
    </w:p>
    <w:p w14:paraId="05B0D5B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(Odgovornost zaposlenih i otkaz ugovora o radu - članovi koji uređuju teže povrede radne obaveze)</w:t>
      </w:r>
    </w:p>
    <w:p w14:paraId="42B50FA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Tekst amandmana:</w:t>
      </w:r>
      <w:r>
        <w:rPr>
          <w:sz w:val="28"/>
          <w:szCs w:val="28"/>
        </w:rPr>
        <w:t xml:space="preserve"> U članu koji propisuje teže povrede radnih obaveza i razloge za otkaz ugovora o radu, dodaje se novi stav koji glasi:</w:t>
      </w:r>
    </w:p>
    <w:p w14:paraId="3FED739E">
      <w:pPr>
        <w:rPr>
          <w:sz w:val="28"/>
          <w:szCs w:val="28"/>
        </w:rPr>
      </w:pPr>
      <w:r>
        <w:rPr>
          <w:sz w:val="28"/>
          <w:szCs w:val="28"/>
        </w:rPr>
        <w:t>„Pre pokretanja disciplinskog postupka za težu povredu radne obaveze, ustanova je dužna da zaposlenom uruči pismeno upozorenje sa navedenim razlozima za pokretanje postupka i ostavi rok od najmanje 8 radnih dana za izjašnjenje. Mera prestanka radnog odnosa ne može se izreći bez prethodno sprovedenog stručno-pedagoškog nadzora i utvrđene srazmernosti između težine povrede i posledice.”</w:t>
      </w:r>
    </w:p>
    <w:p w14:paraId="385484D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Pravno obrazloženje:</w:t>
      </w:r>
    </w:p>
    <w:p w14:paraId="14E5A8A1">
      <w:pPr>
        <w:numPr>
          <w:ilvl w:val="0"/>
          <w:numId w:val="1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Ustavni i zakonski osnov:</w:t>
      </w:r>
      <w:r>
        <w:rPr>
          <w:sz w:val="28"/>
          <w:szCs w:val="28"/>
        </w:rPr>
        <w:t xml:space="preserve"> Član 60. Ustava RS (pravo na rad i pravnu zaštitu), članovi 179. i 180. Zakona o radu (procedura pre otkaza i načelo srazmernosti).</w:t>
      </w:r>
    </w:p>
    <w:p w14:paraId="6AA5CFF3">
      <w:pPr>
        <w:numPr>
          <w:ilvl w:val="0"/>
          <w:numId w:val="1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Obrazloženje:</w:t>
      </w:r>
      <w:r>
        <w:rPr>
          <w:sz w:val="28"/>
          <w:szCs w:val="28"/>
        </w:rPr>
        <w:t xml:space="preserve"> Formulacije u Nacrtu koje omogućavaju brzopotezne otkaze za neodređeno definisane prekršaje u potpunosti suspenduju pravo na odbranu i uvode pravnu nesigurnost. Ovim amandmanom uspostavlja se obavezan test srazmernosti i proceduralna zaštita, čime se sprečava zloupotreba disciplinskih mehanizama za pritisak na prosvetne radnike.</w:t>
      </w:r>
    </w:p>
    <w:p w14:paraId="6428DE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AMANDMAN  III</w:t>
      </w:r>
    </w:p>
    <w:p w14:paraId="030B2FA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(Status zaposlenih na određeno vreme - prelazne i završne odredbe)</w:t>
      </w:r>
    </w:p>
    <w:p w14:paraId="7959389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Tekst amandmana:</w:t>
      </w:r>
      <w:r>
        <w:rPr>
          <w:sz w:val="28"/>
          <w:szCs w:val="28"/>
        </w:rPr>
        <w:t xml:space="preserve"> U delu Prelaznih i završnih odredaba dodaje se novi član koji glasi:</w:t>
      </w:r>
    </w:p>
    <w:p w14:paraId="0B6EE9D4">
      <w:pPr>
        <w:rPr>
          <w:sz w:val="28"/>
          <w:szCs w:val="28"/>
        </w:rPr>
      </w:pPr>
      <w:r>
        <w:rPr>
          <w:sz w:val="28"/>
          <w:szCs w:val="28"/>
        </w:rPr>
        <w:t>„Ustanova je dužna da u roku od 60 dana od stupanja na snagu ovog zakona izvrši preuzimanje, odnosno raspisivanje konkursa za prijem u radni odnos na neodređeno vreme za sve radna mesta na kojima se rad obavlja duže od dve godine, a za kojima postoji trajna potreba i obezbeđena sredstva u budžetu.”</w:t>
      </w:r>
    </w:p>
    <w:p w14:paraId="0D8FF56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Pravno obrazloženje:</w:t>
      </w:r>
    </w:p>
    <w:p w14:paraId="72B05C8B">
      <w:pPr>
        <w:numPr>
          <w:ilvl w:val="0"/>
          <w:numId w:val="16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Ustavni i zakonski osnov:</w:t>
      </w:r>
      <w:r>
        <w:rPr>
          <w:sz w:val="28"/>
          <w:szCs w:val="28"/>
        </w:rPr>
        <w:t xml:space="preserve"> Član 37. Zakona o radu (ograničenje rada na određeno vreme).</w:t>
      </w:r>
    </w:p>
    <w:p w14:paraId="52AD2291">
      <w:pPr>
        <w:numPr>
          <w:ilvl w:val="0"/>
          <w:numId w:val="16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Obrazloženje:</w:t>
      </w:r>
      <w:r>
        <w:rPr>
          <w:sz w:val="28"/>
          <w:szCs w:val="28"/>
        </w:rPr>
        <w:t xml:space="preserve"> Držanje velikog procenta nastavnika u statusu rada na određeno vreme godinama (a nekada i decenijama) stvara sistemsku ucenjivost i direktno urušava kvalitet nastave. Amandmanom se preseca praksa višekratnog obnavljanja ugovora i uvodi reda u uslove rada.</w:t>
      </w:r>
    </w:p>
    <w:p w14:paraId="6B54BC3C">
      <w:pPr>
        <w:rPr>
          <w:b/>
          <w:bCs/>
          <w:sz w:val="28"/>
          <w:szCs w:val="28"/>
        </w:rPr>
      </w:pPr>
    </w:p>
    <w:p w14:paraId="781A65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AMANDMAN  IV</w:t>
      </w:r>
    </w:p>
    <w:p w14:paraId="4E78813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(Prava i organizovanje učenika i roditelja - članovi koji uređuju rad organa škole)</w:t>
      </w:r>
    </w:p>
    <w:p w14:paraId="1DCA27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Tekst amandmana:</w:t>
      </w:r>
      <w:r>
        <w:rPr>
          <w:sz w:val="28"/>
          <w:szCs w:val="28"/>
        </w:rPr>
        <w:t xml:space="preserve"> Član koji uređuje nadležnosti i način rada Učeničkog parlamenta i Saveta roditelja dopunjuje se stavom:</w:t>
      </w:r>
    </w:p>
    <w:p w14:paraId="0127A8BF">
      <w:pPr>
        <w:rPr>
          <w:sz w:val="28"/>
          <w:szCs w:val="28"/>
        </w:rPr>
      </w:pPr>
      <w:r>
        <w:rPr>
          <w:sz w:val="28"/>
          <w:szCs w:val="28"/>
        </w:rPr>
        <w:t>„Učenici i roditelji imaju pravo na samostalno organizovanje, izražavanje stavova i podnošenje inicijativa organima škole o pitanjima od značaja za nastavni proces, bez prethodnog odobrenja uprave ustanove.”</w:t>
      </w:r>
    </w:p>
    <w:p w14:paraId="2A6AB1F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Pravno obrazloženje:</w:t>
      </w:r>
    </w:p>
    <w:p w14:paraId="7A3E6398">
      <w:pPr>
        <w:numPr>
          <w:ilvl w:val="0"/>
          <w:numId w:val="17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Ustavni i zakonski osnov:</w:t>
      </w:r>
      <w:r>
        <w:rPr>
          <w:sz w:val="28"/>
          <w:szCs w:val="28"/>
        </w:rPr>
        <w:t xml:space="preserve"> Član 55. Ustava RS (sloboda udruživanja) i Konvencija UN o pravima deteta (član 12. - pravo deteta na izražavanje sopstvenog mišljenja).</w:t>
      </w:r>
    </w:p>
    <w:p w14:paraId="1363A53C">
      <w:pPr>
        <w:numPr>
          <w:ilvl w:val="0"/>
          <w:numId w:val="17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Obrazloženje:</w:t>
      </w:r>
      <w:r>
        <w:rPr>
          <w:sz w:val="28"/>
          <w:szCs w:val="28"/>
        </w:rPr>
        <w:t xml:space="preserve"> Bilo kakvo birokratsko ograničavanje učeničkog i roditeljskog delovanja protivreči osnovnim ustavnim slobodama. Amandman garantuje otvoren dijalog unutar školske zajednice i podstiče građansku odgovornost kod mladih.</w:t>
      </w:r>
    </w:p>
    <w:p w14:paraId="026B4B4D">
      <w:pPr>
        <w:rPr>
          <w:sz w:val="28"/>
          <w:szCs w:val="28"/>
        </w:rPr>
      </w:pPr>
    </w:p>
    <w:p w14:paraId="5B49B1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Predlog amandmana u vezi sa licencama</w:t>
      </w:r>
    </w:p>
    <w:p w14:paraId="4F51BA7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AMANDMAN V (Oduzimanje licence i zaštita prava zaposlenih)</w:t>
      </w:r>
    </w:p>
    <w:p w14:paraId="3D91129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Tekst amandmana:</w:t>
      </w:r>
      <w:r>
        <w:rPr>
          <w:sz w:val="28"/>
          <w:szCs w:val="28"/>
        </w:rPr>
        <w:t xml:space="preserve"> U članu koji uređuje razloge i postupak za oduzimanje licence, menja se dosadašnji tekst i glasi:</w:t>
      </w:r>
    </w:p>
    <w:p w14:paraId="585AE18F">
      <w:pPr>
        <w:rPr>
          <w:sz w:val="28"/>
          <w:szCs w:val="28"/>
        </w:rPr>
      </w:pPr>
      <w:r>
        <w:rPr>
          <w:sz w:val="28"/>
          <w:szCs w:val="28"/>
        </w:rPr>
        <w:t>„Licenca se može oduzeti zaposlenom samo ako je pravnosnažnom sudskom presudom osuđen za krivično delo koje ga čini nepodobnim za rad sa decom i učenicima, ili ako je u posebnom postupku pred nezavisnom Komisijom za profesionalnu etiku i standarde utvrđeno da je izvršio najtežu povredu zabrane iz čl. 110.-113. ovog zakona.</w:t>
      </w:r>
    </w:p>
    <w:p w14:paraId="7B7995DD">
      <w:pPr>
        <w:rPr>
          <w:sz w:val="28"/>
          <w:szCs w:val="28"/>
        </w:rPr>
      </w:pPr>
      <w:r>
        <w:rPr>
          <w:sz w:val="28"/>
          <w:szCs w:val="28"/>
        </w:rPr>
        <w:t>Oduzimanje licence ne može biti automatska posledica otkazivanja ugovora o radu u pojedinačnoj ustanovi. Nastavnik ima pravo na podnošenje žalbe nadležnom sudu, pri čemu žalba odlaže izvršenje rešenja o oduzimanju licence do pravnosnažnosti sudske odluke.”</w:t>
      </w:r>
    </w:p>
    <w:p w14:paraId="1F2E3D7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Pravno obrazloženje amandmana:</w:t>
      </w:r>
    </w:p>
    <w:p w14:paraId="1BD24D97">
      <w:pPr>
        <w:numPr>
          <w:ilvl w:val="0"/>
          <w:numId w:val="18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Zaštita prava na rad i pretpostavka nevinosti:</w:t>
      </w:r>
      <w:r>
        <w:rPr>
          <w:sz w:val="28"/>
          <w:szCs w:val="28"/>
        </w:rPr>
        <w:t xml:space="preserve"> Gubitak licence ne sme biti diskreciona odluka direktora ili inspekcije na osnovu lokalnog sukoba. Razdvajanje otkazivanja ugovora o radu u jednoj školi od potpunog gubitka licenciranog statusa u državi je ključno. Odložno dejstvo žalbe sprečava nenoknadivu štetu po egzistenciju nastavnika pre nego što nezavisni sud dâ konačnu reč.</w:t>
      </w:r>
    </w:p>
    <w:p w14:paraId="4781894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Dugoročno rešenje: Osnivanje Nastavničke (Prosvetne) Komore</w:t>
      </w:r>
    </w:p>
    <w:p w14:paraId="23507FC7">
      <w:pPr>
        <w:rPr>
          <w:sz w:val="28"/>
          <w:szCs w:val="28"/>
        </w:rPr>
      </w:pPr>
      <w:r>
        <w:rPr>
          <w:sz w:val="28"/>
          <w:szCs w:val="28"/>
        </w:rPr>
        <w:t>Umesto da državna administracija upravlja licencama i kažnjava:</w:t>
      </w:r>
    </w:p>
    <w:p w14:paraId="00DBFD3F">
      <w:pPr>
        <w:numPr>
          <w:ilvl w:val="0"/>
          <w:numId w:val="19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Prenos nadležnosti na struku:</w:t>
      </w:r>
      <w:r>
        <w:rPr>
          <w:sz w:val="28"/>
          <w:szCs w:val="28"/>
        </w:rPr>
        <w:t xml:space="preserve"> Licenciranje, obnovu licence i etički kodeks treba preneti na </w:t>
      </w:r>
      <w:r>
        <w:rPr>
          <w:b/>
          <w:bCs/>
          <w:sz w:val="28"/>
          <w:szCs w:val="28"/>
        </w:rPr>
        <w:t>nezavisnu Nastavničku komoru</w:t>
      </w:r>
      <w:r>
        <w:rPr>
          <w:sz w:val="28"/>
          <w:szCs w:val="28"/>
        </w:rPr>
        <w:t xml:space="preserve"> (po uzoru na inženjersku, lekarsku ili advokatsku komoru).</w:t>
      </w:r>
    </w:p>
    <w:p w14:paraId="3FB867F6">
      <w:pPr>
        <w:numPr>
          <w:ilvl w:val="0"/>
          <w:numId w:val="19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Priznavanje praktičnog rada:</w:t>
      </w:r>
      <w:r>
        <w:rPr>
          <w:sz w:val="28"/>
          <w:szCs w:val="28"/>
        </w:rPr>
        <w:t xml:space="preserve"> Bodove za usavršavanje primarno vezati za mentorski rad, ugledne časove, autorske materijale i rad sa talentovanim/učenicima kojima je potrebna podrška, a ne za učešće na plaćenim vebinarima.</w:t>
      </w:r>
    </w:p>
    <w:p w14:paraId="0C853DFD">
      <w:pPr>
        <w:numPr>
          <w:numId w:val="0"/>
        </w:numPr>
        <w:tabs>
          <w:tab w:val="left" w:pos="720"/>
        </w:tabs>
        <w:spacing w:after="200" w:line="276" w:lineRule="auto"/>
        <w:rPr>
          <w:sz w:val="28"/>
          <w:szCs w:val="28"/>
        </w:rPr>
      </w:pPr>
    </w:p>
    <w:p w14:paraId="31234B29">
      <w:pPr>
        <w:numPr>
          <w:numId w:val="0"/>
        </w:numPr>
        <w:tabs>
          <w:tab w:val="left" w:pos="720"/>
        </w:tabs>
        <w:spacing w:after="200" w:line="276" w:lineRule="auto"/>
        <w:rPr>
          <w:rFonts w:hint="default"/>
          <w:b/>
          <w:bCs/>
          <w:i/>
          <w:iCs/>
          <w:sz w:val="28"/>
          <w:szCs w:val="28"/>
          <w:lang w:val="sr-Latn-RS"/>
        </w:rPr>
      </w:pPr>
      <w:r>
        <w:rPr>
          <w:rFonts w:hint="default"/>
          <w:sz w:val="28"/>
          <w:szCs w:val="28"/>
          <w:lang w:val="sr-Cyrl-RS"/>
        </w:rPr>
        <w:t xml:space="preserve">                                                                                </w:t>
      </w:r>
      <w:r>
        <w:rPr>
          <w:rFonts w:hint="default"/>
          <w:b/>
          <w:bCs/>
          <w:i/>
          <w:iCs/>
          <w:sz w:val="28"/>
          <w:szCs w:val="28"/>
          <w:lang w:val="sr-Cyrl-RS"/>
        </w:rPr>
        <w:t xml:space="preserve"> </w:t>
      </w:r>
      <w:r>
        <w:rPr>
          <w:rFonts w:hint="default"/>
          <w:b/>
          <w:bCs/>
          <w:i/>
          <w:iCs/>
          <w:sz w:val="28"/>
          <w:szCs w:val="28"/>
          <w:lang w:val="sr-Latn-RS"/>
        </w:rPr>
        <w:t>SONK Vojvodine</w:t>
      </w:r>
    </w:p>
    <w:p w14:paraId="1560B397">
      <w:pPr>
        <w:numPr>
          <w:numId w:val="0"/>
        </w:numPr>
        <w:tabs>
          <w:tab w:val="left" w:pos="720"/>
        </w:tabs>
        <w:spacing w:after="200" w:line="276" w:lineRule="auto"/>
        <w:rPr>
          <w:rFonts w:hint="default"/>
          <w:sz w:val="28"/>
          <w:szCs w:val="28"/>
          <w:lang w:val="sr-Latn-RS"/>
        </w:rPr>
      </w:pPr>
      <w:r>
        <w:rPr>
          <w:rFonts w:hint="default"/>
          <w:sz w:val="28"/>
          <w:szCs w:val="28"/>
          <w:lang w:val="sr-Cyrl-RS"/>
        </w:rPr>
        <w:t xml:space="preserve">                                                                                 </w:t>
      </w:r>
      <w:r>
        <w:rPr>
          <w:rFonts w:hint="default"/>
          <w:sz w:val="28"/>
          <w:szCs w:val="28"/>
          <w:lang w:val="sr-Latn-RS"/>
        </w:rPr>
        <w:t>Rade Erceg</w:t>
      </w:r>
    </w:p>
    <w:p w14:paraId="500BDE55"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993" w:right="1417" w:bottom="993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52C59"/>
    <w:multiLevelType w:val="multilevel"/>
    <w:tmpl w:val="0BC52C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D907C03"/>
    <w:multiLevelType w:val="multilevel"/>
    <w:tmpl w:val="0D907C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1D30864"/>
    <w:multiLevelType w:val="multilevel"/>
    <w:tmpl w:val="11D308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E9C05B6"/>
    <w:multiLevelType w:val="multilevel"/>
    <w:tmpl w:val="1E9C05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8737532"/>
    <w:multiLevelType w:val="multilevel"/>
    <w:tmpl w:val="287375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9BB190E"/>
    <w:multiLevelType w:val="multilevel"/>
    <w:tmpl w:val="29BB19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C585B86"/>
    <w:multiLevelType w:val="multilevel"/>
    <w:tmpl w:val="2C585B8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94F96"/>
    <w:multiLevelType w:val="multilevel"/>
    <w:tmpl w:val="38B94F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D9A7D44"/>
    <w:multiLevelType w:val="multilevel"/>
    <w:tmpl w:val="3D9A7D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EC371B3"/>
    <w:multiLevelType w:val="multilevel"/>
    <w:tmpl w:val="3EC371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6390F1F"/>
    <w:multiLevelType w:val="multilevel"/>
    <w:tmpl w:val="56390F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A0A6A52"/>
    <w:multiLevelType w:val="multilevel"/>
    <w:tmpl w:val="5A0A6A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ABD3D4A"/>
    <w:multiLevelType w:val="multilevel"/>
    <w:tmpl w:val="5ABD3D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B907A65"/>
    <w:multiLevelType w:val="multilevel"/>
    <w:tmpl w:val="5B907A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D32194B"/>
    <w:multiLevelType w:val="multilevel"/>
    <w:tmpl w:val="5D3219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6A0808CC"/>
    <w:multiLevelType w:val="multilevel"/>
    <w:tmpl w:val="6A0808CC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>
    <w:nsid w:val="6A104377"/>
    <w:multiLevelType w:val="multilevel"/>
    <w:tmpl w:val="6A1043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D2919CD"/>
    <w:multiLevelType w:val="multilevel"/>
    <w:tmpl w:val="6D2919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79766A73"/>
    <w:multiLevelType w:val="multilevel"/>
    <w:tmpl w:val="79766A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3"/>
  </w:num>
  <w:num w:numId="5">
    <w:abstractNumId w:val="14"/>
  </w:num>
  <w:num w:numId="6">
    <w:abstractNumId w:val="18"/>
  </w:num>
  <w:num w:numId="7">
    <w:abstractNumId w:val="1"/>
  </w:num>
  <w:num w:numId="8">
    <w:abstractNumId w:val="8"/>
  </w:num>
  <w:num w:numId="9">
    <w:abstractNumId w:val="2"/>
  </w:num>
  <w:num w:numId="10">
    <w:abstractNumId w:val="12"/>
  </w:num>
  <w:num w:numId="11">
    <w:abstractNumId w:val="16"/>
  </w:num>
  <w:num w:numId="12">
    <w:abstractNumId w:val="4"/>
  </w:num>
  <w:num w:numId="13">
    <w:abstractNumId w:val="13"/>
  </w:num>
  <w:num w:numId="14">
    <w:abstractNumId w:val="0"/>
  </w:num>
  <w:num w:numId="15">
    <w:abstractNumId w:val="9"/>
  </w:num>
  <w:num w:numId="16">
    <w:abstractNumId w:val="7"/>
  </w:num>
  <w:num w:numId="17">
    <w:abstractNumId w:val="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9F"/>
    <w:rsid w:val="00382BBA"/>
    <w:rsid w:val="0041549F"/>
    <w:rsid w:val="009D62BD"/>
    <w:rsid w:val="00AC6A09"/>
    <w:rsid w:val="00B55A49"/>
    <w:rsid w:val="00D429D1"/>
    <w:rsid w:val="00EF1D78"/>
    <w:rsid w:val="5D77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1546</Words>
  <Characters>9500</Characters>
  <Lines>78</Lines>
  <Paragraphs>22</Paragraphs>
  <TotalTime>78</TotalTime>
  <ScaleCrop>false</ScaleCrop>
  <LinksUpToDate>false</LinksUpToDate>
  <CharactersWithSpaces>10980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2026-08-12T08:03:00Z</dcterms:created>
  <dc:creator>SSSV</dc:creator>
  <cp:lastModifiedBy>Rade Erceg</cp:lastModifiedBy>
  <dcterms:modified xsi:type="dcterms:W3CDTF">2026-08-12T10:23:47Z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eyJoZGlkIjoiZDNkOGYwNmRlOGZhNDI2YmM3MDIyNzlmODMxZmNmODUiLCJ1c2VySWQiOiI4MTI2NTI1MzYxODEzIn0=</vt:lpwstr>
  </property>
  <property fmtid="{D5CDD505-2E9C-101B-9397-08002B2CF9AE}" pid="3" name="KSOProductBuildVer">
    <vt:lpwstr>1033-12.1.0.28032</vt:lpwstr>
  </property>
  <property fmtid="{D5CDD505-2E9C-101B-9397-08002B2CF9AE}" pid="4" name="ICV">
    <vt:lpwstr>39B7FF6FF20F44D49477D61BD9F2E2CC_13</vt:lpwstr>
  </property>
</Properties>
</file>