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B23" w:rsidRPr="00E81B23" w:rsidRDefault="00E81B23" w:rsidP="00E81B23">
      <w:pPr>
        <w:shd w:val="clear" w:color="auto" w:fill="FFFFFF"/>
        <w:spacing w:after="0" w:line="420" w:lineRule="atLeast"/>
        <w:textAlignment w:val="baseline"/>
        <w:outlineLvl w:val="2"/>
        <w:rPr>
          <w:rFonts w:ascii="Helvetica" w:eastAsia="Times New Roman" w:hAnsi="Helvetica" w:cs="Helvetica"/>
          <w:b/>
          <w:bCs/>
          <w:caps/>
          <w:color w:val="2E3842"/>
          <w:spacing w:val="54"/>
          <w:sz w:val="28"/>
          <w:szCs w:val="28"/>
        </w:rPr>
      </w:pPr>
      <w:r w:rsidRPr="00E81B23">
        <w:rPr>
          <w:rFonts w:ascii="Helvetica" w:eastAsia="Times New Roman" w:hAnsi="Helvetica" w:cs="Helvetica"/>
          <w:b/>
          <w:bCs/>
          <w:caps/>
          <w:color w:val="2E3842"/>
          <w:spacing w:val="54"/>
          <w:sz w:val="28"/>
          <w:szCs w:val="28"/>
        </w:rPr>
        <w:t>OTVORENO PISMO </w:t>
      </w:r>
      <w:bookmarkStart w:id="0" w:name="MINISTRU"/>
      <w:r w:rsidRPr="00E81B23">
        <w:rPr>
          <w:rFonts w:ascii="Helvetica" w:eastAsia="Times New Roman" w:hAnsi="Helvetica" w:cs="Helvetica"/>
          <w:b/>
          <w:bCs/>
          <w:caps/>
          <w:color w:val="2E3842"/>
          <w:spacing w:val="54"/>
          <w:sz w:val="28"/>
          <w:szCs w:val="28"/>
          <w:bdr w:val="none" w:sz="0" w:space="0" w:color="auto" w:frame="1"/>
        </w:rPr>
        <w:t>MINISTRU</w:t>
      </w:r>
      <w:bookmarkEnd w:id="0"/>
      <w:r w:rsidRPr="00E81B23">
        <w:rPr>
          <w:rFonts w:ascii="Helvetica" w:eastAsia="Times New Roman" w:hAnsi="Helvetica" w:cs="Helvetica"/>
          <w:b/>
          <w:bCs/>
          <w:caps/>
          <w:color w:val="2E3842"/>
          <w:spacing w:val="54"/>
          <w:sz w:val="28"/>
          <w:szCs w:val="28"/>
        </w:rPr>
        <w:t> RUŽIĆ</w:t>
      </w:r>
      <w:bookmarkStart w:id="1" w:name="_GoBack"/>
      <w:bookmarkEnd w:id="1"/>
      <w:r w:rsidRPr="00E81B23">
        <w:rPr>
          <w:rFonts w:ascii="Helvetica" w:eastAsia="Times New Roman" w:hAnsi="Helvetica" w:cs="Helvetica"/>
          <w:b/>
          <w:bCs/>
          <w:caps/>
          <w:color w:val="2E3842"/>
          <w:spacing w:val="54"/>
          <w:sz w:val="28"/>
          <w:szCs w:val="28"/>
        </w:rPr>
        <w:t>U</w:t>
      </w:r>
    </w:p>
    <w:p w:rsidR="00E81B23" w:rsidRPr="00E81B23" w:rsidRDefault="00E81B23" w:rsidP="00E81B23">
      <w:pPr>
        <w:shd w:val="clear" w:color="auto" w:fill="FFFFFF"/>
        <w:spacing w:after="240" w:line="360" w:lineRule="atLeast"/>
        <w:textAlignment w:val="baseline"/>
        <w:outlineLvl w:val="5"/>
        <w:rPr>
          <w:rFonts w:ascii="Helvetica" w:eastAsia="Times New Roman" w:hAnsi="Helvetica" w:cs="Helvetica"/>
          <w:b/>
          <w:bCs/>
          <w:caps/>
          <w:color w:val="2E3842"/>
          <w:spacing w:val="54"/>
          <w:sz w:val="17"/>
          <w:szCs w:val="17"/>
        </w:rPr>
      </w:pPr>
      <w:r w:rsidRPr="00E81B23">
        <w:rPr>
          <w:rFonts w:ascii="Helvetica" w:eastAsia="Times New Roman" w:hAnsi="Helvetica" w:cs="Helvetica"/>
          <w:b/>
          <w:bCs/>
          <w:caps/>
          <w:color w:val="2E3842"/>
          <w:spacing w:val="54"/>
          <w:sz w:val="17"/>
          <w:szCs w:val="17"/>
        </w:rPr>
        <w:t>12. NOVEMBAR 2021.</w:t>
      </w:r>
    </w:p>
    <w:p w:rsidR="00E81B23" w:rsidRPr="00E81B23" w:rsidRDefault="00E81B23" w:rsidP="00E81B23">
      <w:pPr>
        <w:shd w:val="clear" w:color="auto" w:fill="FFFFFF"/>
        <w:spacing w:after="480" w:line="240" w:lineRule="auto"/>
        <w:textAlignment w:val="baseline"/>
        <w:rPr>
          <w:rFonts w:ascii="Helvetica" w:eastAsia="Times New Roman" w:hAnsi="Helvetica" w:cs="Helvetica"/>
          <w:color w:val="4E4852"/>
          <w:spacing w:val="20"/>
          <w:sz w:val="26"/>
          <w:szCs w:val="26"/>
        </w:rPr>
      </w:pPr>
      <w:r w:rsidRPr="00E81B23">
        <w:rPr>
          <w:rFonts w:ascii="Helvetica" w:eastAsia="Times New Roman" w:hAnsi="Helvetica" w:cs="Helvetica"/>
          <w:color w:val="4E4852"/>
          <w:spacing w:val="20"/>
          <w:sz w:val="26"/>
          <w:szCs w:val="26"/>
        </w:rPr>
        <w:t>Razlog da se, kao predsednica Sindikata nauke Srbije, ponovo obratim javnosti, je da istiniti podaci, oko kojih sa Ministarstvom imamo suprotna mišljenja, izađu na videlo. U mom dosadašnjem radu, uvek sam se trudila, da za ono što iznosim u javnost, imam i odgovarajuće argumente.</w:t>
      </w:r>
    </w:p>
    <w:p w:rsidR="00E81B23" w:rsidRPr="00E81B23" w:rsidRDefault="00E81B23" w:rsidP="00E81B23">
      <w:pPr>
        <w:numPr>
          <w:ilvl w:val="0"/>
          <w:numId w:val="1"/>
        </w:numPr>
        <w:shd w:val="clear" w:color="auto" w:fill="FFFFFF"/>
        <w:spacing w:after="0" w:line="240" w:lineRule="auto"/>
        <w:ind w:left="0"/>
        <w:textAlignment w:val="baseline"/>
        <w:rPr>
          <w:rFonts w:ascii="Helvetica" w:eastAsia="Times New Roman" w:hAnsi="Helvetica" w:cs="Helvetica"/>
          <w:color w:val="4E4852"/>
          <w:spacing w:val="20"/>
          <w:sz w:val="26"/>
          <w:szCs w:val="26"/>
        </w:rPr>
      </w:pPr>
      <w:r w:rsidRPr="00E81B23">
        <w:rPr>
          <w:rFonts w:ascii="inherit" w:eastAsia="Times New Roman" w:hAnsi="inherit" w:cs="Helvetica"/>
          <w:b/>
          <w:bCs/>
          <w:color w:val="2E3842"/>
          <w:spacing w:val="20"/>
          <w:sz w:val="26"/>
          <w:szCs w:val="26"/>
          <w:bdr w:val="none" w:sz="0" w:space="0" w:color="auto" w:frame="1"/>
        </w:rPr>
        <w:t>Ulaganje u nauku</w:t>
      </w:r>
      <w:r w:rsidRPr="00E81B23">
        <w:rPr>
          <w:rFonts w:ascii="Helvetica" w:eastAsia="Times New Roman" w:hAnsi="Helvetica" w:cs="Helvetica"/>
          <w:color w:val="4E4852"/>
          <w:spacing w:val="20"/>
          <w:sz w:val="26"/>
          <w:szCs w:val="26"/>
        </w:rPr>
        <w:t> – javno sam iznela podatak da ulaganje u nauku, iz BUDŽETA RS, nije promenjeno u % od 2002.god do sada i kreće se od 0,5-0,38%. Podaci se nalaze u Strategiji naučnog i tehnološkog razvoja RS „Moć znanja“, za 2021-2025.g. Iz dokumenta se vidi da je ulaganje, iz BUDŽETA, u nauku u padu od 2009 (0,51%) do 2020 (0,38%).</w:t>
      </w:r>
      <w:r w:rsidRPr="00E81B23">
        <w:rPr>
          <w:rFonts w:ascii="Helvetica" w:eastAsia="Times New Roman" w:hAnsi="Helvetica" w:cs="Helvetica"/>
          <w:color w:val="4E4852"/>
          <w:spacing w:val="20"/>
          <w:sz w:val="26"/>
          <w:szCs w:val="26"/>
        </w:rPr>
        <w:br/>
        <w:t>Uvidom u predlog budžeta za nauku (rebalans 2021 i predlog 2022), beleži se </w:t>
      </w:r>
      <w:r w:rsidRPr="00E81B23">
        <w:rPr>
          <w:rFonts w:ascii="inherit" w:eastAsia="Times New Roman" w:hAnsi="inherit" w:cs="Helvetica"/>
          <w:b/>
          <w:bCs/>
          <w:color w:val="2E3842"/>
          <w:spacing w:val="20"/>
          <w:sz w:val="26"/>
          <w:szCs w:val="26"/>
          <w:bdr w:val="none" w:sz="0" w:space="0" w:color="auto" w:frame="1"/>
        </w:rPr>
        <w:t>pad izdvajanja za plate istraživača</w:t>
      </w:r>
      <w:r w:rsidRPr="00E81B23">
        <w:rPr>
          <w:rFonts w:ascii="Helvetica" w:eastAsia="Times New Roman" w:hAnsi="Helvetica" w:cs="Helvetica"/>
          <w:color w:val="4E4852"/>
          <w:spacing w:val="20"/>
          <w:sz w:val="26"/>
          <w:szCs w:val="26"/>
        </w:rPr>
        <w:t> u iznosu od -0,09%, što navodi na sumnju da niste planirali povećanje plata za 7%, kako se nalazi u predlogu Zakona o izmenama i dopuni Zakona o budžetskom sistemu za 2022.g. Svi navedeni podaci koje sam navela nalaze se u prilogu.</w:t>
      </w:r>
      <w:r w:rsidRPr="00E81B23">
        <w:rPr>
          <w:rFonts w:ascii="Helvetica" w:eastAsia="Times New Roman" w:hAnsi="Helvetica" w:cs="Helvetica"/>
          <w:color w:val="4E4852"/>
          <w:spacing w:val="20"/>
          <w:sz w:val="26"/>
          <w:szCs w:val="26"/>
        </w:rPr>
        <w:br/>
      </w:r>
      <w:r w:rsidRPr="00E81B23">
        <w:rPr>
          <w:rFonts w:ascii="Helvetica" w:eastAsia="Times New Roman" w:hAnsi="Helvetica" w:cs="Helvetica"/>
          <w:color w:val="4E4852"/>
          <w:spacing w:val="20"/>
          <w:sz w:val="26"/>
          <w:szCs w:val="26"/>
        </w:rPr>
        <w:br/>
        <w:t>(</w:t>
      </w:r>
      <w:r w:rsidRPr="00E81B23">
        <w:rPr>
          <w:rFonts w:ascii="inherit" w:eastAsia="Times New Roman" w:hAnsi="inherit" w:cs="Helvetica"/>
          <w:b/>
          <w:bCs/>
          <w:color w:val="2E3842"/>
          <w:spacing w:val="20"/>
          <w:sz w:val="26"/>
          <w:szCs w:val="26"/>
          <w:bdr w:val="none" w:sz="0" w:space="0" w:color="auto" w:frame="1"/>
        </w:rPr>
        <w:t>Prilog 1</w:t>
      </w:r>
      <w:r w:rsidRPr="00E81B23">
        <w:rPr>
          <w:rFonts w:ascii="Helvetica" w:eastAsia="Times New Roman" w:hAnsi="Helvetica" w:cs="Helvetica"/>
          <w:color w:val="4E4852"/>
          <w:spacing w:val="20"/>
          <w:sz w:val="26"/>
          <w:szCs w:val="26"/>
        </w:rPr>
        <w:t>) – Klikni na link ispod</w:t>
      </w:r>
      <w:r w:rsidRPr="00E81B23">
        <w:rPr>
          <w:rFonts w:ascii="Helvetica" w:eastAsia="Times New Roman" w:hAnsi="Helvetica" w:cs="Helvetica"/>
          <w:color w:val="4E4852"/>
          <w:spacing w:val="20"/>
          <w:sz w:val="26"/>
          <w:szCs w:val="26"/>
        </w:rPr>
        <w:br/>
      </w:r>
      <w:hyperlink r:id="rId5" w:tgtFrame="_blank" w:tooltip="iz budžeta" w:history="1">
        <w:r w:rsidRPr="00E81B23">
          <w:rPr>
            <w:rFonts w:ascii="inherit" w:eastAsia="Times New Roman" w:hAnsi="inherit" w:cs="Helvetica"/>
            <w:b/>
            <w:bCs/>
            <w:i/>
            <w:iCs/>
            <w:color w:val="0000FF"/>
            <w:spacing w:val="20"/>
            <w:sz w:val="26"/>
            <w:szCs w:val="26"/>
            <w:bdr w:val="none" w:sz="0" w:space="0" w:color="auto" w:frame="1"/>
          </w:rPr>
          <w:t>Ulaganje iz budžeta 2019-2022</w:t>
        </w:r>
      </w:hyperlink>
    </w:p>
    <w:p w:rsidR="00E81B23" w:rsidRPr="00E81B23" w:rsidRDefault="00E81B23" w:rsidP="00E81B23">
      <w:pPr>
        <w:shd w:val="clear" w:color="auto" w:fill="FFFFFF"/>
        <w:spacing w:after="0" w:line="240" w:lineRule="auto"/>
        <w:textAlignment w:val="baseline"/>
        <w:rPr>
          <w:rFonts w:ascii="Helvetica" w:eastAsia="Times New Roman" w:hAnsi="Helvetica" w:cs="Helvetica"/>
          <w:color w:val="4E4852"/>
          <w:spacing w:val="20"/>
          <w:sz w:val="26"/>
          <w:szCs w:val="26"/>
        </w:rPr>
      </w:pPr>
      <w:r w:rsidRPr="00E81B23">
        <w:rPr>
          <w:rFonts w:ascii="Helvetica" w:eastAsia="Times New Roman" w:hAnsi="Helvetica" w:cs="Helvetica"/>
          <w:color w:val="4E4852"/>
          <w:spacing w:val="20"/>
          <w:sz w:val="26"/>
          <w:szCs w:val="26"/>
        </w:rPr>
        <w:br/>
      </w:r>
    </w:p>
    <w:p w:rsidR="00E81B23" w:rsidRPr="00E81B23" w:rsidRDefault="00E81B23" w:rsidP="00E81B23">
      <w:pPr>
        <w:numPr>
          <w:ilvl w:val="0"/>
          <w:numId w:val="1"/>
        </w:numPr>
        <w:shd w:val="clear" w:color="auto" w:fill="FFFFFF"/>
        <w:spacing w:after="0" w:line="240" w:lineRule="auto"/>
        <w:ind w:left="0"/>
        <w:textAlignment w:val="baseline"/>
        <w:rPr>
          <w:rFonts w:ascii="Helvetica" w:eastAsia="Times New Roman" w:hAnsi="Helvetica" w:cs="Helvetica"/>
          <w:color w:val="4E4852"/>
          <w:spacing w:val="20"/>
          <w:sz w:val="26"/>
          <w:szCs w:val="26"/>
        </w:rPr>
      </w:pPr>
      <w:r w:rsidRPr="00E81B23">
        <w:rPr>
          <w:rFonts w:ascii="inherit" w:eastAsia="Times New Roman" w:hAnsi="inherit" w:cs="Helvetica"/>
          <w:b/>
          <w:bCs/>
          <w:color w:val="2E3842"/>
          <w:spacing w:val="20"/>
          <w:sz w:val="26"/>
          <w:szCs w:val="26"/>
          <w:bdr w:val="none" w:sz="0" w:space="0" w:color="auto" w:frame="1"/>
        </w:rPr>
        <w:t>Institucionalno finansiranje</w:t>
      </w:r>
      <w:r w:rsidRPr="00E81B23">
        <w:rPr>
          <w:rFonts w:ascii="Helvetica" w:eastAsia="Times New Roman" w:hAnsi="Helvetica" w:cs="Helvetica"/>
          <w:color w:val="4E4852"/>
          <w:spacing w:val="20"/>
          <w:sz w:val="26"/>
          <w:szCs w:val="26"/>
        </w:rPr>
        <w:t> – Zakon o nauci i istraživanjima, koji je donet jula 2019.god., do sada nije u praksi zaživeo. Razlog je što u Ministarstvu nisu doneti podzakonski akti (Katalog radnih mesta zaposlenih u nauci, Uredba o koeficijentima po zvanjima, Program institucionalnog finansiranja i dr.). Zakon je samo deklarativno proglasio da se do kraja 2019.god. ukida projektno finansiranje i da se uvodi institucionalno. Interesantno je, da je ukinuto projektno finansiranje, a zadržan Akt o finansiranju iz 2011.god., koji je bio osnov za finansiranje projekata i kao takav ne može da služi institucionalnom ( član 135 stav 1 Zakona o nauci i istraživanjima). Obrazloženje Ministarstva je tada dato NIO, da se primena Zakona odlaže za dve godine. Za ove dve godine, Ministarstvo nije našlo nikakve mehanizme koji bi omogućili institucionalno finansiranje. Postojeća Uredba o normativima i standardina raspodele sredstava akreditovanim naučnoistraživačkim organizacijama (koju je donela Vlada RS) je samo mehanički preuzela postojeće bruto zarade istraživača, formirane na osnovu kategorija istraživača koje su važile za projekte. Ovaj način određivanja plata se nastavlja i u 2022. i neizvesno je do kada će to trajati. Postavlja se pitanje, kako je Vlada RS utvrdila, za sve druge javne službe, koeficijente za plate, po stručnoj spremi i zvanjima, a da to za dve godine nije uradila za nauku? Od 2019. do danas, istraživači se u institutima, po pitanju finansiranja plata, nalaze u nedefinisanom pravnom okviru i što je najgore tome se ne vidi kraj.</w:t>
      </w:r>
    </w:p>
    <w:p w:rsidR="00E81B23" w:rsidRPr="00E81B23" w:rsidRDefault="00E81B23" w:rsidP="00E81B23">
      <w:pPr>
        <w:numPr>
          <w:ilvl w:val="0"/>
          <w:numId w:val="1"/>
        </w:numPr>
        <w:shd w:val="clear" w:color="auto" w:fill="FFFFFF"/>
        <w:spacing w:after="0" w:line="240" w:lineRule="auto"/>
        <w:ind w:left="0"/>
        <w:textAlignment w:val="baseline"/>
        <w:rPr>
          <w:rFonts w:ascii="Helvetica" w:eastAsia="Times New Roman" w:hAnsi="Helvetica" w:cs="Helvetica"/>
          <w:color w:val="4E4852"/>
          <w:spacing w:val="20"/>
          <w:sz w:val="26"/>
          <w:szCs w:val="26"/>
        </w:rPr>
      </w:pPr>
      <w:r w:rsidRPr="00E81B23">
        <w:rPr>
          <w:rFonts w:ascii="inherit" w:eastAsia="Times New Roman" w:hAnsi="inherit" w:cs="Helvetica"/>
          <w:b/>
          <w:bCs/>
          <w:color w:val="2E3842"/>
          <w:spacing w:val="20"/>
          <w:sz w:val="26"/>
          <w:szCs w:val="26"/>
          <w:bdr w:val="none" w:sz="0" w:space="0" w:color="auto" w:frame="1"/>
        </w:rPr>
        <w:lastRenderedPageBreak/>
        <w:t>Položaj mladih istraživača na fakultetima i institutima</w:t>
      </w:r>
      <w:r w:rsidRPr="00E81B23">
        <w:rPr>
          <w:rFonts w:ascii="Helvetica" w:eastAsia="Times New Roman" w:hAnsi="Helvetica" w:cs="Helvetica"/>
          <w:color w:val="4E4852"/>
          <w:spacing w:val="20"/>
          <w:sz w:val="26"/>
          <w:szCs w:val="26"/>
        </w:rPr>
        <w:t> – istina je da u naučnoistraživačkom radu od 2010. do danas, učestvuje 1657 mladih istraživača (od kojih neki odavno više nisu mladi), kao i da Ministarstvo, od tada pa do danas, svake godine obaveštava dekane i direktore instituta da su obezbeđena sredstva za njihove plate. Takav način finansiranja na, po godinu dana, koriste poslodavci ovih NIO (fakulteti i instituti) i svake godine zaključuju ugovore o radu, sa ovom istraživačima, na godinu dana. Ova praksa traje već više od 10 godina i suprotna je Zakonu o radu i Zakonu o nauci i istraživanjima. Poslodavci se prema njima ponašaju kao da su sezonski radnici i ne smatraju ih svojim zaposlenima. Prema njima se vrši diskriminacija, lišeni su nekih zakonskih prava, koja ostvaruju drugi zaposleni (kao što su minuli rad, prevoz, jubilarne nagrade i dr.). O ovim i drugim pojavama nezakonitosti u radu akreditovanih NIO, blagovremeno smo i detaljno obaveštavali Ministarstvo. Smatramo da se ovime ne završava briga države o mladima. Naprotiv, na ovaj način država je izvršila prema njima prevaru i obamula javnost da vodi brigu o mladima i da ima želju da ih zadrži.</w:t>
      </w:r>
    </w:p>
    <w:p w:rsidR="00F91EF2" w:rsidRDefault="00E81B23" w:rsidP="00E81B23">
      <w:r w:rsidRPr="00E81B23">
        <w:rPr>
          <w:rFonts w:ascii="Helvetica" w:eastAsia="Times New Roman" w:hAnsi="Helvetica" w:cs="Helvetica"/>
          <w:color w:val="4E4852"/>
          <w:spacing w:val="20"/>
          <w:sz w:val="26"/>
          <w:szCs w:val="26"/>
          <w:shd w:val="clear" w:color="auto" w:fill="FFFFFF"/>
        </w:rPr>
        <w:t>Sindikat smatra da razrešenje ovih problema prevazilazi okvire Ministarstva i da država treba da se uključi odgovornije i sadržajnije, kako da se mladima obezbedi dostojanstveniji rad, da ostanu u svojoj zemlji i da svojim znanjem i radom doprinose napretku svoje zemlje.</w:t>
      </w:r>
    </w:p>
    <w:sectPr w:rsidR="00F91EF2" w:rsidSect="00E81B23">
      <w:pgSz w:w="12240" w:h="15840"/>
      <w:pgMar w:top="709"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641700"/>
    <w:multiLevelType w:val="multilevel"/>
    <w:tmpl w:val="437A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23"/>
    <w:rsid w:val="008B6492"/>
    <w:rsid w:val="00E81B23"/>
    <w:rsid w:val="00F9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4BFA3-C166-4A8E-8E23-627B0BCB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42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ndikat-nauke.org.rs/support/vesti_files/ulaganje_budzet19-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4</dc:creator>
  <cp:keywords/>
  <dc:description/>
  <cp:lastModifiedBy>Korisnik 4</cp:lastModifiedBy>
  <cp:revision>1</cp:revision>
  <dcterms:created xsi:type="dcterms:W3CDTF">2021-11-15T07:39:00Z</dcterms:created>
  <dcterms:modified xsi:type="dcterms:W3CDTF">2021-11-15T07:41:00Z</dcterms:modified>
</cp:coreProperties>
</file>